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7B4C"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废铝销售招标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书</w:t>
      </w:r>
    </w:p>
    <w:p w14:paraId="5B4155CB">
      <w:pPr>
        <w:rPr>
          <w:rFonts w:hint="eastAsia" w:ascii="宋体" w:hAnsi="宋体" w:eastAsia="宋体"/>
          <w:sz w:val="24"/>
          <w:szCs w:val="24"/>
        </w:rPr>
      </w:pPr>
    </w:p>
    <w:p w14:paraId="1C98CBE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一、项目概述</w:t>
      </w:r>
    </w:p>
    <w:p w14:paraId="6B33D73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1.1 项目背景</w:t>
      </w:r>
    </w:p>
    <w:p w14:paraId="61981BF7">
      <w:pPr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为规范公司废铝物资处置流程，实现废旧物资回收价值最大化，同时保障废铝销售过程的公开、公平、公正，降低处置风险，现对公司年度废铝销售项目进行公开招标，择优选定符合资质要求的合作方。</w:t>
      </w:r>
    </w:p>
    <w:p w14:paraId="34C1641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1.2 招标内容</w:t>
      </w:r>
    </w:p>
    <w:p w14:paraId="65EFDCE0">
      <w:pPr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本项目招标范围为公司年度产生的各类废铝物资（具体以实际交付量为准，包含复合废铝，废铝屑，3003纯废铝等不同品类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废铝料</w:t>
      </w:r>
      <w:r>
        <w:rPr>
          <w:rFonts w:hint="eastAsia" w:ascii="宋体" w:hAnsi="宋体" w:eastAsia="宋体"/>
          <w:sz w:val="24"/>
          <w:szCs w:val="24"/>
        </w:rPr>
        <w:t>），包含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以上废料</w:t>
      </w:r>
      <w:r>
        <w:rPr>
          <w:rFonts w:hint="eastAsia" w:ascii="宋体" w:hAnsi="宋体" w:eastAsia="宋体"/>
          <w:sz w:val="24"/>
          <w:szCs w:val="24"/>
        </w:rPr>
        <w:t>的回收、运输、交付及后续相关服务。</w:t>
      </w:r>
    </w:p>
    <w:p w14:paraId="46A05E91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1.3预估招标数量</w:t>
      </w:r>
    </w:p>
    <w:p w14:paraId="207C2268"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参考往年销售量，预计160吨/月，实际出售数量受市场行情和订单情况影响。</w:t>
      </w:r>
    </w:p>
    <w:p w14:paraId="1C5BC53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 xml:space="preserve"> 招标方式</w:t>
      </w:r>
    </w:p>
    <w:p w14:paraId="02E75A7C">
      <w:pPr>
        <w:rPr>
          <w:rFonts w:hint="default" w:ascii="宋体" w:hAnsi="宋体" w:eastAsia="宋体"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公开招标。</w:t>
      </w:r>
    </w:p>
    <w:p w14:paraId="49C9DCA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二、招标要求</w:t>
      </w:r>
    </w:p>
    <w:p w14:paraId="78ADC51B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2.1 投标人资质要求</w:t>
      </w:r>
    </w:p>
    <w:p w14:paraId="082CD8F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具有独立法人资格，持有有效的营业执照，经营范围包含废旧物资回收、销售相关业务，且成立时间不少于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年。</w:t>
      </w:r>
    </w:p>
    <w:p w14:paraId="3D28A45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具备合法的废铝回收资质及相关许可证明文件（如再生资源回收备案证明等），无违法违规经营记录。</w:t>
      </w:r>
    </w:p>
    <w:p w14:paraId="0F550C8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年内（自招标公告发布之日起倒推），无重大合同违约、欺诈等不良行为，未被列入经营异常名录或严重违法失信企业名单。</w:t>
      </w:r>
    </w:p>
    <w:p w14:paraId="50840A7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 具备稳定的废铝回收处理能力，拥有固定的回收运输团队及合规的运输车辆，能保障按需及时上门提货。</w:t>
      </w:r>
    </w:p>
    <w:p w14:paraId="19E342A6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 财务状况良好，具备履行本项目合同所需的资金实力，提供近1年财务报表（资产负债表、利润表）。</w:t>
      </w:r>
    </w:p>
    <w:p w14:paraId="6C7AD93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 有同类废铝或有色金属销售项目合作经验的，优先考虑，需提供近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年相关合作合同复印件。</w:t>
      </w:r>
    </w:p>
    <w:p w14:paraId="4F909AAF"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铝厂直接参与招标的无以上资质要求。</w:t>
      </w:r>
    </w:p>
    <w:p w14:paraId="1A48CE67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2.2 废铝质量要求</w:t>
      </w:r>
    </w:p>
    <w:p w14:paraId="1EA83087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1. 废铝交付时需分类堆放，不得混入铁、铜、塑料、橡胶等非铝类杂质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65CB7856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. 不同品类废铝需分类交付，具体品类及质量细分标准由招标方提前提供，投标方需认可该标准。</w:t>
      </w:r>
    </w:p>
    <w:p w14:paraId="078FA037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招标方负责需压块部分的压块工作，如因招标方原因未能压块的需按未压块价格出售。无需压块部分不执行此要求。</w:t>
      </w:r>
    </w:p>
    <w:p w14:paraId="6ED34C94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2.3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提货方式</w:t>
      </w:r>
    </w:p>
    <w:p w14:paraId="1F305526"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投标方自提，招标方负责装车</w:t>
      </w:r>
    </w:p>
    <w:p w14:paraId="4FE112B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 xml:space="preserve"> 报价要求</w:t>
      </w:r>
    </w:p>
    <w:p w14:paraId="209862B6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投标方需以人民币报价，报价为含税（开具合规增值税专用发票，税率按国家现行规定执行）、含运输费、等所有费用的综合单价（元/吨）。</w:t>
      </w:r>
    </w:p>
    <w:p w14:paraId="5B0EDEC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定价方式：</w:t>
      </w:r>
    </w:p>
    <w:p w14:paraId="1090CA08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废铝：按照</w:t>
      </w:r>
      <w:r>
        <w:rPr>
          <w:rFonts w:hint="eastAsia" w:ascii="宋体" w:hAnsi="宋体" w:eastAsia="宋体"/>
          <w:sz w:val="24"/>
          <w:szCs w:val="24"/>
        </w:rPr>
        <w:fldChar w:fldCharType="begin"/>
      </w:r>
      <w:r>
        <w:rPr>
          <w:rFonts w:hint="eastAsia" w:ascii="宋体" w:hAnsi="宋体" w:eastAsia="宋体"/>
          <w:sz w:val="24"/>
          <w:szCs w:val="24"/>
        </w:rPr>
        <w:instrText xml:space="preserve"> HYPERLINK "https://www.smm.cn/上海有色网当天开盘A00" </w:instrText>
      </w:r>
      <w:r>
        <w:rPr>
          <w:rFonts w:hint="eastAsia"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https://www.smm.cn/上海有色网当天开盘A00</w:t>
      </w:r>
      <w:r>
        <w:rPr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铝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/>
          <w:sz w:val="24"/>
          <w:szCs w:val="24"/>
        </w:rPr>
        <w:t>价的折率/吨进行报价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318A434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. 以招标方指定地点的过磅重量为结算依据，投标方不得随意加价。</w:t>
      </w:r>
    </w:p>
    <w:p w14:paraId="13DF285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. 报价有效期为自投标截止之日起60个自然日，有效期内投标方不得擅自更改报价。</w:t>
      </w:r>
    </w:p>
    <w:p w14:paraId="336CEBDB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 xml:space="preserve"> 履约要求</w:t>
      </w:r>
    </w:p>
    <w:p w14:paraId="6EAC1E8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中标方需在中标通知书发出后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个自然日内，与招标方签订正式废铝销售合同，并按合同约定缴纳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30万</w:t>
      </w:r>
      <w:r>
        <w:rPr>
          <w:rFonts w:hint="eastAsia" w:ascii="宋体" w:hAnsi="宋体" w:eastAsia="宋体"/>
          <w:sz w:val="24"/>
          <w:szCs w:val="24"/>
        </w:rPr>
        <w:t>履约保证金，合同履行完毕后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5个工作日内</w:t>
      </w:r>
      <w:r>
        <w:rPr>
          <w:rFonts w:hint="eastAsia" w:ascii="宋体" w:hAnsi="宋体" w:eastAsia="宋体"/>
          <w:sz w:val="24"/>
          <w:szCs w:val="24"/>
        </w:rPr>
        <w:t>无息退还。</w:t>
      </w:r>
    </w:p>
    <w:p w14:paraId="74AE2AB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严格按照合同约定的时间、地点提货，每次提货需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在要求提货前一日</w:t>
      </w:r>
      <w:r>
        <w:rPr>
          <w:rFonts w:hint="eastAsia" w:ascii="宋体" w:hAnsi="宋体" w:eastAsia="宋体"/>
          <w:sz w:val="24"/>
          <w:szCs w:val="24"/>
        </w:rPr>
        <w:t>通知招标方，配合招标方完成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装车</w:t>
      </w:r>
      <w:r>
        <w:rPr>
          <w:rFonts w:hint="eastAsia" w:ascii="宋体" w:hAnsi="宋体" w:eastAsia="宋体"/>
          <w:sz w:val="24"/>
          <w:szCs w:val="24"/>
        </w:rPr>
        <w:t>、过磅、交接等流程。</w:t>
      </w:r>
    </w:p>
    <w:p w14:paraId="60F69EE7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遵守招标方厂区及物资处置现场的管理规定，文明作业，避免造成环境污染、安全事故等问题，若因中标方原因导致相关损失，需全额赔偿。</w:t>
      </w:r>
    </w:p>
    <w:p w14:paraId="73A6957D">
      <w:pPr>
        <w:rPr>
          <w:rFonts w:hint="eastAsia" w:ascii="宋体" w:hAnsi="宋体" w:eastAsia="宋体"/>
          <w:color w:val="C00000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三、招标工作计划</w:t>
      </w:r>
    </w:p>
    <w:p w14:paraId="081C12B9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24"/>
          <w:szCs w:val="24"/>
        </w:rPr>
        <w:t xml:space="preserve"> 关键节点管理要求</w:t>
      </w:r>
    </w:p>
    <w:p w14:paraId="7885167A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24"/>
          <w:szCs w:val="24"/>
        </w:rPr>
        <w:t>.1 招标公告发布</w:t>
      </w:r>
    </w:p>
    <w:p w14:paraId="5CF494E5">
      <w:pP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发布平台：公司官方网站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.</w:t>
      </w:r>
    </w:p>
    <w:p w14:paraId="5406EB28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公告时间：不少于5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天</w:t>
      </w:r>
      <w:r>
        <w:rPr>
          <w:rFonts w:hint="eastAsia" w:ascii="宋体" w:hAnsi="宋体" w:eastAsia="宋体"/>
          <w:color w:val="auto"/>
          <w:sz w:val="24"/>
          <w:szCs w:val="24"/>
        </w:rPr>
        <w:t>，自公告发布之日起计算。</w:t>
      </w:r>
    </w:p>
    <w:p w14:paraId="41EBB4E0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 咨询答疑：潜在投标人对招标内容有疑问的，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可通过电话，邮件或者来厂勘察方式向招标方咨询</w:t>
      </w:r>
      <w:r>
        <w:rPr>
          <w:rFonts w:hint="eastAsia" w:ascii="宋体" w:hAnsi="宋体" w:eastAsia="宋体"/>
          <w:color w:val="auto"/>
          <w:sz w:val="24"/>
          <w:szCs w:val="24"/>
        </w:rPr>
        <w:t>。</w:t>
      </w:r>
    </w:p>
    <w:p w14:paraId="5874412C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24"/>
          <w:szCs w:val="24"/>
        </w:rPr>
        <w:t>.2 报名</w:t>
      </w:r>
    </w:p>
    <w:p w14:paraId="5C96D57B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报名截止时间：公告发布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第</w:t>
      </w:r>
      <w:r>
        <w:rPr>
          <w:rFonts w:hint="eastAsia" w:ascii="宋体" w:hAnsi="宋体" w:eastAsia="宋体"/>
          <w:color w:val="auto"/>
          <w:sz w:val="24"/>
          <w:szCs w:val="24"/>
        </w:rPr>
        <w:t>5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天的</w:t>
      </w:r>
      <w:r>
        <w:rPr>
          <w:rFonts w:hint="eastAsia" w:ascii="宋体" w:hAnsi="宋体" w:eastAsia="宋体"/>
          <w:color w:val="auto"/>
          <w:sz w:val="24"/>
          <w:szCs w:val="24"/>
        </w:rPr>
        <w:t>下午1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:00，逾期不再接受报名。</w:t>
      </w:r>
    </w:p>
    <w:p w14:paraId="7E0FB619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报名资料（需加盖单位公章）：</w:t>
      </w:r>
    </w:p>
    <w:p w14:paraId="0EFBEFB0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（1）报名函（注明项目名称、单位名称、联系人、联系电话、邮箱）；</w:t>
      </w:r>
    </w:p>
    <w:p w14:paraId="366A2FF1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（2）营业执照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复印件/扫描件</w:t>
      </w:r>
      <w:r>
        <w:rPr>
          <w:rFonts w:hint="eastAsia" w:ascii="宋体" w:hAnsi="宋体" w:eastAsia="宋体"/>
          <w:color w:val="auto"/>
          <w:sz w:val="24"/>
          <w:szCs w:val="24"/>
        </w:rPr>
        <w:t>（加盖公章）；</w:t>
      </w:r>
    </w:p>
    <w:p w14:paraId="3988A813">
      <w:pPr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（3）废铝回收相关资质许可文件复印件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/扫描件</w:t>
      </w:r>
      <w:r>
        <w:rPr>
          <w:rFonts w:hint="eastAsia" w:ascii="宋体" w:hAnsi="宋体" w:eastAsia="宋体"/>
          <w:color w:val="auto"/>
          <w:sz w:val="24"/>
          <w:szCs w:val="24"/>
        </w:rPr>
        <w:t>（如再生资源回收备案证明等）；</w:t>
      </w:r>
    </w:p>
    <w:p w14:paraId="4E73FF46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（4）法定代表人身份证明及授权委托书（若委托他人办理）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483496E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年无违法违规经营记录承诺书；</w:t>
      </w:r>
    </w:p>
    <w:p w14:paraId="62E726D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（6）近1年财务报表复印件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/扫描件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66A795B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（7）近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年同类项目合作合同复印件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/扫描件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42AF4A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资料提交方式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28CF6762"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所有资料发送以下邮箱：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szCs w:val="24"/>
          <w:lang w:val="en-US" w:eastAsia="zh-CN"/>
        </w:rPr>
        <w:instrText xml:space="preserve"> HYPERLINK "mailto:wanglili@the-tube.com.cn" </w:instrText>
      </w:r>
      <w:r>
        <w:rPr>
          <w:rFonts w:hint="eastAsia" w:ascii="宋体" w:hAnsi="宋体" w:eastAsia="宋体"/>
          <w:sz w:val="24"/>
          <w:szCs w:val="24"/>
          <w:lang w:val="en-US" w:eastAsia="zh-CN"/>
        </w:rPr>
        <w:fldChar w:fldCharType="separate"/>
      </w:r>
      <w:r>
        <w:rPr>
          <w:rStyle w:val="19"/>
          <w:rFonts w:hint="eastAsia" w:ascii="宋体" w:hAnsi="宋体" w:eastAsia="宋体"/>
          <w:sz w:val="24"/>
          <w:szCs w:val="24"/>
          <w:lang w:val="en-US" w:eastAsia="zh-CN"/>
        </w:rPr>
        <w:t>wanglili@the-tube.com.cn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fldChar w:fldCharType="end"/>
      </w:r>
    </w:p>
    <w:p w14:paraId="72C8B62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 xml:space="preserve"> 投标</w:t>
      </w:r>
    </w:p>
    <w:p w14:paraId="1D11621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投标截止时间：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同招标公告结束时间</w:t>
      </w:r>
      <w:r>
        <w:rPr>
          <w:rFonts w:hint="eastAsia" w:ascii="宋体" w:hAnsi="宋体" w:eastAsia="宋体"/>
          <w:sz w:val="24"/>
          <w:szCs w:val="24"/>
        </w:rPr>
        <w:t>，逾期提交的投标文件视为无效投标。</w:t>
      </w:r>
    </w:p>
    <w:p w14:paraId="5F37F0D0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2.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投标方式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邮件或直接方式。</w:t>
      </w:r>
    </w:p>
    <w:p w14:paraId="3E714FEF"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纸质投标：</w:t>
      </w:r>
      <w:r>
        <w:rPr>
          <w:rFonts w:hint="eastAsia" w:ascii="宋体" w:hAnsi="宋体" w:eastAsia="宋体"/>
          <w:sz w:val="24"/>
          <w:szCs w:val="24"/>
        </w:rPr>
        <w:t>投标文件需按招标书要求密封，密封袋封口处需加盖单位公章，未按要求密封或密封破损的投标文件无效。投标文件递交地点：公司指定办公地址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山东省泰安市磁窑镇经济开发区北首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文件接收人：王女士 联系方式：18905385151</w:t>
      </w:r>
    </w:p>
    <w:p w14:paraId="01505F7B"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电子投标：</w:t>
      </w:r>
      <w:r>
        <w:rPr>
          <w:rFonts w:hint="eastAsia" w:ascii="宋体" w:hAnsi="宋体" w:eastAsia="宋体"/>
          <w:sz w:val="24"/>
          <w:szCs w:val="24"/>
        </w:rPr>
        <w:t>投标文件需加盖单位公章，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邮箱接收人：王女士，邮箱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szCs w:val="24"/>
          <w:lang w:val="en-US" w:eastAsia="zh-CN"/>
        </w:rPr>
        <w:instrText xml:space="preserve"> HYPERLINK "mailto:wanglili@the-tube.com.cn" </w:instrText>
      </w:r>
      <w:r>
        <w:rPr>
          <w:rFonts w:hint="eastAsia" w:ascii="宋体" w:hAnsi="宋体" w:eastAsia="宋体"/>
          <w:sz w:val="24"/>
          <w:szCs w:val="24"/>
          <w:lang w:val="en-US" w:eastAsia="zh-CN"/>
        </w:rPr>
        <w:fldChar w:fldCharType="separate"/>
      </w:r>
      <w:r>
        <w:rPr>
          <w:rStyle w:val="19"/>
          <w:rFonts w:hint="eastAsia" w:ascii="宋体" w:hAnsi="宋体" w:eastAsia="宋体"/>
          <w:sz w:val="24"/>
          <w:szCs w:val="24"/>
          <w:lang w:val="en-US" w:eastAsia="zh-CN"/>
        </w:rPr>
        <w:t>wanglili@the-tube.com.cn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fldChar w:fldCharType="end"/>
      </w:r>
    </w:p>
    <w:p w14:paraId="731FE87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 xml:space="preserve"> 开标评标</w:t>
      </w:r>
    </w:p>
    <w:p w14:paraId="7F9D7D08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1. 开标时间：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投标截止日的次日</w:t>
      </w:r>
      <w:r>
        <w:rPr>
          <w:rFonts w:hint="eastAsia" w:ascii="宋体" w:hAnsi="宋体" w:eastAsia="宋体"/>
          <w:sz w:val="24"/>
          <w:szCs w:val="24"/>
        </w:rPr>
        <w:t>上午9:00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3FD5ECC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开标地点：公司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冲压三楼</w:t>
      </w:r>
      <w:r>
        <w:rPr>
          <w:rFonts w:hint="eastAsia" w:ascii="宋体" w:hAnsi="宋体" w:eastAsia="宋体"/>
          <w:sz w:val="24"/>
          <w:szCs w:val="24"/>
        </w:rPr>
        <w:t>会议室。</w:t>
      </w:r>
    </w:p>
    <w:p w14:paraId="5EEEE98D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评审方式：综合评分法，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具体评分标准详见本招标书第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/>
          <w:sz w:val="24"/>
          <w:szCs w:val="24"/>
        </w:rPr>
        <w:t>章。</w:t>
      </w:r>
    </w:p>
    <w:p w14:paraId="588CB3F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 确定中标候选人：评标小组根据综合评分结果，按得分从高到低排序，选定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名作为中标候选人，评标小组出具完整评标报告并签字确认。</w:t>
      </w:r>
    </w:p>
    <w:p w14:paraId="24CD12D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 xml:space="preserve"> 结果阶段</w:t>
      </w:r>
    </w:p>
    <w:p w14:paraId="7E53C7C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通知中标单位：采购部在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个工作日内发出中标通知书，同时通知未中标单位（不退还投标文件）。</w:t>
      </w:r>
    </w:p>
    <w:p w14:paraId="6067D24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合同洽谈与签订：中标方需在收到中标通知书后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个自然日内，与招标方完成合同细节洽谈并签订正式废铝销售合同，履约保证金需在合同签订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后2天内</w:t>
      </w:r>
      <w:r>
        <w:rPr>
          <w:rFonts w:hint="eastAsia" w:ascii="宋体" w:hAnsi="宋体" w:eastAsia="宋体"/>
          <w:sz w:val="24"/>
          <w:szCs w:val="24"/>
        </w:rPr>
        <w:t>足额缴纳至招标方指定账户。</w:t>
      </w:r>
    </w:p>
    <w:p w14:paraId="61E161C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未中标单位处理：对未中标单位，招标方不提供未中标原因解释，投标文件由招标方留存归档。</w:t>
      </w:r>
    </w:p>
    <w:p w14:paraId="2D7423F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/>
          <w:sz w:val="24"/>
          <w:szCs w:val="24"/>
        </w:rPr>
        <w:t>、评标办法与标准</w:t>
      </w:r>
    </w:p>
    <w:p w14:paraId="7DC63C1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.1 评标办法</w:t>
      </w:r>
    </w:p>
    <w:p w14:paraId="1DAD872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采用综合评分法，由评标小组根据投标方投标文件、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资料审查评价</w:t>
      </w:r>
      <w:r>
        <w:rPr>
          <w:rFonts w:hint="eastAsia" w:ascii="宋体" w:hAnsi="宋体" w:eastAsia="宋体"/>
          <w:sz w:val="24"/>
          <w:szCs w:val="24"/>
        </w:rPr>
        <w:t>，按评分标准逐项打分，最终得分为各评委打分的算术平均值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/>
          <w:sz w:val="24"/>
          <w:szCs w:val="24"/>
        </w:rPr>
        <w:t>最终得分保留2位小数。</w:t>
      </w:r>
    </w:p>
    <w:p w14:paraId="02897476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.2 评分标准</w:t>
      </w:r>
    </w:p>
    <w:tbl>
      <w:tblPr>
        <w:tblStyle w:val="17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737"/>
        <w:gridCol w:w="5945"/>
        <w:gridCol w:w="1732"/>
      </w:tblGrid>
      <w:tr w14:paraId="7324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</w:tcPr>
          <w:p w14:paraId="317923D4">
            <w:pPr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737" w:type="dxa"/>
          </w:tcPr>
          <w:p w14:paraId="49533E9F">
            <w:pPr>
              <w:jc w:val="both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5945" w:type="dxa"/>
          </w:tcPr>
          <w:p w14:paraId="27B66A2C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1732" w:type="dxa"/>
          </w:tcPr>
          <w:p w14:paraId="4DB8270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评分依据</w:t>
            </w:r>
          </w:p>
        </w:tc>
      </w:tr>
      <w:tr w14:paraId="5C3A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211" w:type="dxa"/>
          </w:tcPr>
          <w:p w14:paraId="7FE496B7">
            <w:pPr>
              <w:jc w:val="both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投标报价</w:t>
            </w:r>
          </w:p>
        </w:tc>
        <w:tc>
          <w:tcPr>
            <w:tcW w:w="737" w:type="dxa"/>
          </w:tcPr>
          <w:p w14:paraId="14BE9E54">
            <w:pPr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5945" w:type="dxa"/>
          </w:tcPr>
          <w:p w14:paraId="187064C6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招标控制价：</w:t>
            </w:r>
          </w:p>
          <w:p w14:paraId="66C382FB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复合废铝价格：当天开盘A00铝价*87%；3003纯废铝价格：当天开盘A00铝价*94%；废渣价格：当天开盘A00铝价*65%   低于控制价的按照无效投标处理</w:t>
            </w:r>
          </w:p>
          <w:p w14:paraId="0F83405C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有效报价计算算术平均值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基准价：</w:t>
            </w:r>
          </w:p>
          <w:p w14:paraId="45E59D51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基准价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 xml:space="preserve">=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报价1 + 报价2 +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...+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 xml:space="preserve"> 报价_n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）/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n</w:t>
            </w:r>
          </w:p>
          <w:p w14:paraId="521C68C1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单项报价评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 xml:space="preserve">分公式：=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（有效报价/基准价）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 xml:space="preserve">³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*85</w:t>
            </w:r>
          </w:p>
          <w:p w14:paraId="71318365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3003纯废铝权重62%，复合废铝权重31%，废渣权重7%</w:t>
            </w:r>
          </w:p>
          <w:p w14:paraId="4C4C2DB2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总报价评分公式=3003纯废铝报价评分*62%+复合废铝权重评分*31%+废渣报价评分*7%</w:t>
            </w:r>
          </w:p>
        </w:tc>
        <w:tc>
          <w:tcPr>
            <w:tcW w:w="1732" w:type="dxa"/>
          </w:tcPr>
          <w:p w14:paraId="77FC3B7F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投标文件报价 </w:t>
            </w:r>
          </w:p>
          <w:p w14:paraId="150633F3">
            <w:pPr>
              <w:jc w:val="both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  <w:tr w14:paraId="0F30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</w:tcPr>
          <w:p w14:paraId="23E38DBE">
            <w:pPr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737" w:type="dxa"/>
          </w:tcPr>
          <w:p w14:paraId="4431A6CA">
            <w:pPr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945" w:type="dxa"/>
          </w:tcPr>
          <w:p w14:paraId="67B1717C">
            <w:pPr>
              <w:jc w:val="both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提货时效方案（承诺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小时内响应提货，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小时内上门的得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分，每延迟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个时效要求扣1分）</w:t>
            </w:r>
          </w:p>
        </w:tc>
        <w:tc>
          <w:tcPr>
            <w:tcW w:w="1732" w:type="dxa"/>
          </w:tcPr>
          <w:p w14:paraId="27D95303">
            <w:pPr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提货时效方案</w:t>
            </w:r>
          </w:p>
        </w:tc>
      </w:tr>
    </w:tbl>
    <w:p w14:paraId="24B9EBE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.3 最终得分计算</w:t>
      </w:r>
    </w:p>
    <w:p w14:paraId="07308A3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. 各评分项目最终得分相加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求平均值</w:t>
      </w:r>
      <w:r>
        <w:rPr>
          <w:rFonts w:hint="eastAsia" w:ascii="宋体" w:hAnsi="宋体" w:eastAsia="宋体"/>
          <w:sz w:val="24"/>
          <w:szCs w:val="24"/>
        </w:rPr>
        <w:t>，得出投标方综合得分（保留2位小数）。</w:t>
      </w:r>
    </w:p>
    <w:p w14:paraId="122BE33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.4 定标原则</w:t>
      </w:r>
    </w:p>
    <w:p w14:paraId="6EA1031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综合得分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最高的</w:t>
      </w:r>
      <w:r>
        <w:rPr>
          <w:rFonts w:hint="eastAsia" w:ascii="宋体" w:hAnsi="宋体" w:eastAsia="宋体"/>
          <w:sz w:val="24"/>
          <w:szCs w:val="24"/>
        </w:rPr>
        <w:t>中标候选人确定为中标人；若综合得分相同，以投标报价更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高</w:t>
      </w:r>
      <w:r>
        <w:rPr>
          <w:rFonts w:hint="eastAsia" w:ascii="宋体" w:hAnsi="宋体" w:eastAsia="宋体"/>
          <w:sz w:val="24"/>
          <w:szCs w:val="24"/>
        </w:rPr>
        <w:t>者优先；若报价仍相同，以企业实力与经验得分更高者优先；</w:t>
      </w:r>
    </w:p>
    <w:p w14:paraId="71CEDDD7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. 若所有有效投标方均不符合招标要求，评标小组有权否决所有投标，本次招标作废，另行组织招标；</w:t>
      </w:r>
    </w:p>
    <w:p w14:paraId="06CECA5D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. 中标人不得将本项目转让给第三方，若中标人违反该约定，招标方有权取消其中标资格，没收履约保证金，并顺延确定下一顺位中标候选人。</w:t>
      </w:r>
    </w:p>
    <w:p w14:paraId="4A91CF2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/>
          <w:sz w:val="24"/>
          <w:szCs w:val="24"/>
        </w:rPr>
        <w:t>、合同主要条款</w:t>
      </w:r>
    </w:p>
    <w:p w14:paraId="2C59B4C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.1 合作期限</w:t>
      </w:r>
    </w:p>
    <w:p w14:paraId="3B37CAC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自合同签订之日起1年，合同期满前30个自然日，双方可协商续约事宜，如无异议，自动续约1年，续约次数不限。</w:t>
      </w:r>
    </w:p>
    <w:p w14:paraId="6B3F6CC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.2 废铝交付与结算</w:t>
      </w:r>
    </w:p>
    <w:p w14:paraId="1F6BC0F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交付地点：公司指定废铝堆放场地。</w:t>
      </w:r>
    </w:p>
    <w:p w14:paraId="40F0F21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交付方式：中标方派运输车辆至交付地点，双方共同过磅（过磅设备需经双方确认校准），以过磅重量为结算重量，确认无异议后签署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出库单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C15E59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3.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付款方式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中标方应在每车次离开招标方工厂前将全部款项结清</w:t>
      </w:r>
      <w:r>
        <w:rPr>
          <w:rFonts w:hint="eastAsia" w:ascii="宋体" w:hAnsi="宋体" w:eastAsia="宋体"/>
          <w:sz w:val="24"/>
          <w:szCs w:val="24"/>
        </w:rPr>
        <w:t>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转账或</w:t>
      </w:r>
      <w:r>
        <w:rPr>
          <w:rFonts w:hint="eastAsia" w:ascii="宋体" w:hAnsi="宋体" w:eastAsia="宋体"/>
          <w:sz w:val="24"/>
          <w:szCs w:val="24"/>
        </w:rPr>
        <w:t>电汇的方式支付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给招标方提供的对公账户。</w:t>
      </w:r>
    </w:p>
    <w:p w14:paraId="4A6A5672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发票开具</w:t>
      </w:r>
      <w:r>
        <w:rPr>
          <w:rFonts w:hint="eastAsia" w:ascii="宋体" w:hAnsi="宋体" w:eastAsia="宋体"/>
          <w:sz w:val="24"/>
          <w:szCs w:val="24"/>
        </w:rPr>
        <w:t>：每月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28号日前</w:t>
      </w:r>
      <w:r>
        <w:rPr>
          <w:rFonts w:hint="eastAsia" w:ascii="宋体" w:hAnsi="宋体" w:eastAsia="宋体"/>
          <w:sz w:val="24"/>
          <w:szCs w:val="24"/>
        </w:rPr>
        <w:t>双方核对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未开发票明细</w:t>
      </w:r>
      <w:r>
        <w:rPr>
          <w:rFonts w:hint="eastAsia" w:ascii="宋体" w:hAnsi="宋体" w:eastAsia="宋体"/>
          <w:sz w:val="24"/>
          <w:szCs w:val="24"/>
        </w:rPr>
        <w:t>，核对无误后，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招标方</w:t>
      </w:r>
      <w:r>
        <w:rPr>
          <w:rFonts w:hint="eastAsia" w:ascii="宋体" w:hAnsi="宋体" w:eastAsia="宋体"/>
          <w:sz w:val="24"/>
          <w:szCs w:val="24"/>
        </w:rPr>
        <w:t>开具合规增值税专用发票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1AEE39F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 xml:space="preserve">.3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主要的</w:t>
      </w:r>
      <w:r>
        <w:rPr>
          <w:rFonts w:hint="eastAsia" w:ascii="宋体" w:hAnsi="宋体" w:eastAsia="宋体"/>
          <w:sz w:val="24"/>
          <w:szCs w:val="24"/>
        </w:rPr>
        <w:t>履约保证金与违约责任</w:t>
      </w:r>
    </w:p>
    <w:p w14:paraId="4EAEFAE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中标方需在合同签订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后两天内</w:t>
      </w:r>
      <w:r>
        <w:rPr>
          <w:rFonts w:hint="eastAsia" w:ascii="宋体" w:hAnsi="宋体" w:eastAsia="宋体"/>
          <w:sz w:val="24"/>
          <w:szCs w:val="24"/>
        </w:rPr>
        <w:t>缴纳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30万</w:t>
      </w:r>
      <w:r>
        <w:rPr>
          <w:rFonts w:hint="eastAsia" w:ascii="宋体" w:hAnsi="宋体" w:eastAsia="宋体"/>
          <w:sz w:val="24"/>
          <w:szCs w:val="24"/>
        </w:rPr>
        <w:t>履约保证金，招标方在合同履行完毕、无违约行为后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个工作日内无息退还。</w:t>
      </w:r>
    </w:p>
    <w:p w14:paraId="6804DF5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若中标方未按合同约定时间提货，每逾期1日，按当次提货预估金额的0.5%向招标方支付违约金；逾期超过7日，招标方有权单方面解除合同，没收履约保证金。</w:t>
      </w:r>
    </w:p>
    <w:p w14:paraId="100027F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. 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中标方</w:t>
      </w:r>
      <w:r>
        <w:rPr>
          <w:rFonts w:hint="eastAsia" w:ascii="宋体" w:hAnsi="宋体" w:eastAsia="宋体"/>
          <w:sz w:val="24"/>
          <w:szCs w:val="24"/>
        </w:rPr>
        <w:t>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装车或者</w:t>
      </w:r>
      <w:r>
        <w:rPr>
          <w:rFonts w:hint="eastAsia" w:ascii="宋体" w:hAnsi="宋体" w:eastAsia="宋体"/>
          <w:sz w:val="24"/>
          <w:szCs w:val="24"/>
        </w:rPr>
        <w:t>称重过程中弄虚作假，经核实后，将予以本次称重差额的5倍罚款，出现三次以上（含三次）称重弄虚作假情况后，将取消收购资格，并对之前每批次的收购做差额追罚（出现过的称重差额平均数*5*总收购批次）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所有罚款在履约保证金中扣除。</w:t>
      </w:r>
    </w:p>
    <w:p w14:paraId="748DC24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 xml:space="preserve"> 合同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变更，</w:t>
      </w:r>
      <w:r>
        <w:rPr>
          <w:rFonts w:hint="eastAsia" w:ascii="宋体" w:hAnsi="宋体" w:eastAsia="宋体"/>
          <w:sz w:val="24"/>
          <w:szCs w:val="24"/>
        </w:rPr>
        <w:t>终止与解除</w:t>
      </w:r>
    </w:p>
    <w:p w14:paraId="1ABC52F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合同期满，双方未达成续约协议的，合同自动终止，中标方需完成剩余废铝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废模具钢</w:t>
      </w:r>
      <w:r>
        <w:rPr>
          <w:rFonts w:hint="eastAsia" w:ascii="宋体" w:hAnsi="宋体" w:eastAsia="宋体"/>
          <w:sz w:val="24"/>
          <w:szCs w:val="24"/>
        </w:rPr>
        <w:t>的提货及结算，招标方退还履约保证金。</w:t>
      </w:r>
    </w:p>
    <w:p w14:paraId="79B56BE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一方严重违约</w:t>
      </w:r>
    </w:p>
    <w:sectPr>
      <w:pgSz w:w="11906" w:h="16838"/>
      <w:pgMar w:top="1327" w:right="1576" w:bottom="127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45"/>
    <w:rsid w:val="000A5B45"/>
    <w:rsid w:val="0011457B"/>
    <w:rsid w:val="00435EEE"/>
    <w:rsid w:val="00B85A0F"/>
    <w:rsid w:val="00EE0F95"/>
    <w:rsid w:val="00EE7013"/>
    <w:rsid w:val="0AC758F1"/>
    <w:rsid w:val="138008DC"/>
    <w:rsid w:val="1DF36BFE"/>
    <w:rsid w:val="1E82009D"/>
    <w:rsid w:val="1E834A1F"/>
    <w:rsid w:val="1F39351D"/>
    <w:rsid w:val="281E68C5"/>
    <w:rsid w:val="313C600D"/>
    <w:rsid w:val="31442AF1"/>
    <w:rsid w:val="3B1626AA"/>
    <w:rsid w:val="3EA330BF"/>
    <w:rsid w:val="43955C41"/>
    <w:rsid w:val="44272CF0"/>
    <w:rsid w:val="4441397F"/>
    <w:rsid w:val="453848F2"/>
    <w:rsid w:val="479B1265"/>
    <w:rsid w:val="4ACB1E18"/>
    <w:rsid w:val="4C7D1893"/>
    <w:rsid w:val="554D5BB4"/>
    <w:rsid w:val="5556494E"/>
    <w:rsid w:val="63D47B81"/>
    <w:rsid w:val="6E1E018C"/>
    <w:rsid w:val="73F00142"/>
    <w:rsid w:val="74D84C7F"/>
    <w:rsid w:val="78144598"/>
    <w:rsid w:val="7B4F6A2E"/>
    <w:rsid w:val="7E15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3063</Words>
  <Characters>3317</Characters>
  <Lines>13</Lines>
  <Paragraphs>3</Paragraphs>
  <TotalTime>7</TotalTime>
  <ScaleCrop>false</ScaleCrop>
  <LinksUpToDate>false</LinksUpToDate>
  <CharactersWithSpaces>3398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2025-12-31T12:48:00Z</dcterms:created>
  <dc:creator>relin cui</dc:creator>
  <cp:lastModifiedBy>初见</cp:lastModifiedBy>
  <cp:lastPrinted>2026-01-03T08:13:00Z</cp:lastPrinted>
  <dcterms:modified xsi:type="dcterms:W3CDTF">2026-04-15T06:51:31Z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eyJoZGlkIjoiM2UwYjM0YTUxNDAwMTRmMjdkNTk0MWM2MGY3YjU3ZmQiLCJ1c2VySWQiOiIxNjQ0MDI0MTQyIn0=</vt:lpwstr>
  </property>
  <property fmtid="{D5CDD505-2E9C-101B-9397-08002B2CF9AE}" pid="3" name="KSOProductBuildVer">
    <vt:lpwstr>2052-12.1.0.25225</vt:lpwstr>
  </property>
  <property fmtid="{D5CDD505-2E9C-101B-9397-08002B2CF9AE}" pid="4" name="ICV">
    <vt:lpwstr>72648ABFD81442F3B51A54D9F43E3B39_13</vt:lpwstr>
  </property>
</Properties>
</file>